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b/>
          <w:bCs/>
          <w:lang w:val="en-US" w:eastAsia="zh-CN"/>
        </w:rPr>
      </w:pPr>
      <w:r>
        <w:rPr>
          <w:rFonts w:hint="eastAsia"/>
          <w:b/>
          <w:bCs/>
          <w:lang w:val="en-US" w:eastAsia="zh-CN"/>
        </w:rPr>
        <w:t>案例7-6 整合资源能力，让牛根生成就了今日蒙牛</w:t>
      </w:r>
    </w:p>
    <w:p w14:paraId="4DF8AC7B">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lang w:val="en-US" w:eastAsia="zh-CN"/>
        </w:rPr>
      </w:pPr>
    </w:p>
    <w:p w14:paraId="439FD77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牛根生在离开伊利之后，并没有一蹶不振，他用了 8 年时间使蒙牛成为全球液态奶冠军、中国乳业总冠军，蒙牛集团也被全世界视作中国企业顽强崛起的标杆。蒙牛的产业链上游是千万股民、数亿消费者，下游是百万奶农、产品运输等被称为“中国最大的造饭碗企业”。蒙牛初创时，没有市场、没有工厂、没有奶源，什么都没有，但牛根生依旧成功了，他是怎么做到的？创建蒙牛的时候，牛根生把他当初在伊利学到的管理制度及竞争意识都复制到蒙牛身上。面对伊利的强势竞争，牛根生一</w:t>
      </w:r>
      <w:bookmarkStart w:id="0" w:name="_GoBack"/>
      <w:bookmarkEnd w:id="0"/>
      <w:r>
        <w:rPr>
          <w:rFonts w:hint="default"/>
          <w:lang w:val="en-US" w:eastAsia="zh-CN"/>
        </w:rPr>
        <w:t>开始就提出“向伊利学习”的口号，表示要向伊利学习，从而获得发展空间，快速建立自己的产业链。牛根生将工厂、政府农村扶贫工程、农村信用社资金等资源整合在一起；企业没有运输车，他就整合个体户买车；员工没有宿舍，他就将政府、银行、员工这三个资源整合在一起建宿舍。农民用贷款买牛，蒙牛用自己的品牌为农民产出的牛奶做包销保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ACA779E"/>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2456AD1"/>
    <w:rsid w:val="53B66877"/>
    <w:rsid w:val="56A066B2"/>
    <w:rsid w:val="61D94219"/>
    <w:rsid w:val="62975624"/>
    <w:rsid w:val="6373711D"/>
    <w:rsid w:val="65C1546A"/>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2025-06-16T06:51:31Z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